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665"/>
        <w:gridCol w:w="2250"/>
        <w:gridCol w:w="2880"/>
      </w:tblGrid>
      <w:tr w:rsidR="00032441" w:rsidTr="00BE3A12">
        <w:tc>
          <w:tcPr>
            <w:tcW w:w="5665" w:type="dxa"/>
          </w:tcPr>
          <w:p w:rsidR="00032441" w:rsidRPr="003B64D1" w:rsidRDefault="00032441">
            <w:pPr>
              <w:rPr>
                <w:rFonts w:ascii="Arabic Typesetting" w:hAnsi="Arabic Typesetting" w:cs="Arabic Typesetting"/>
              </w:rPr>
            </w:pPr>
            <w:r w:rsidRPr="003B64D1">
              <w:rPr>
                <w:rFonts w:ascii="Arabic Typesetting" w:hAnsi="Arabic Typesetting" w:cs="Arabic Typesetting" w:hint="cs"/>
              </w:rPr>
              <w:t>Name:</w:t>
            </w:r>
          </w:p>
        </w:tc>
        <w:tc>
          <w:tcPr>
            <w:tcW w:w="2250" w:type="dxa"/>
          </w:tcPr>
          <w:p w:rsidR="00032441" w:rsidRPr="003B64D1" w:rsidRDefault="00032441">
            <w:pPr>
              <w:rPr>
                <w:rFonts w:ascii="Arabic Typesetting" w:hAnsi="Arabic Typesetting" w:cs="Arabic Typesetting"/>
              </w:rPr>
            </w:pPr>
            <w:r w:rsidRPr="003B64D1">
              <w:rPr>
                <w:rFonts w:ascii="Arabic Typesetting" w:hAnsi="Arabic Typesetting" w:cs="Arabic Typesetting" w:hint="cs"/>
              </w:rPr>
              <w:t>UNI:</w:t>
            </w:r>
          </w:p>
        </w:tc>
        <w:tc>
          <w:tcPr>
            <w:tcW w:w="2880" w:type="dxa"/>
          </w:tcPr>
          <w:p w:rsidR="00032441" w:rsidRPr="003B64D1" w:rsidRDefault="00032441">
            <w:pPr>
              <w:rPr>
                <w:rFonts w:ascii="Arabic Typesetting" w:hAnsi="Arabic Typesetting" w:cs="Arabic Typesetting"/>
              </w:rPr>
            </w:pPr>
            <w:r w:rsidRPr="003B64D1">
              <w:rPr>
                <w:rFonts w:ascii="Arabic Typesetting" w:hAnsi="Arabic Typesetting" w:cs="Arabic Typesetting" w:hint="cs"/>
              </w:rPr>
              <w:t>Exp</w:t>
            </w:r>
            <w:r w:rsidR="00BE3A12">
              <w:rPr>
                <w:rFonts w:ascii="Arabic Typesetting" w:hAnsi="Arabic Typesetting" w:cs="Arabic Typesetting"/>
              </w:rPr>
              <w:t>ected Graduation Date:</w:t>
            </w:r>
          </w:p>
        </w:tc>
      </w:tr>
    </w:tbl>
    <w:p w:rsidR="004E2466" w:rsidRDefault="004E2466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57"/>
        <w:gridCol w:w="3124"/>
        <w:gridCol w:w="2551"/>
        <w:gridCol w:w="1084"/>
        <w:gridCol w:w="648"/>
        <w:gridCol w:w="2114"/>
        <w:gridCol w:w="717"/>
      </w:tblGrid>
      <w:tr w:rsidR="00032441" w:rsidTr="004B7A71">
        <w:tc>
          <w:tcPr>
            <w:tcW w:w="10795" w:type="dxa"/>
            <w:gridSpan w:val="7"/>
          </w:tcPr>
          <w:p w:rsidR="00032441" w:rsidRPr="003B64D1" w:rsidRDefault="003B64D1" w:rsidP="00A4711C">
            <w:pPr>
              <w:jc w:val="center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 xml:space="preserve">The </w:t>
            </w:r>
            <w:r w:rsidR="005C7898">
              <w:rPr>
                <w:rFonts w:ascii="Arabic Typesetting" w:hAnsi="Arabic Typesetting" w:cs="Arabic Typesetting"/>
              </w:rPr>
              <w:t>Minor</w:t>
            </w:r>
            <w:r>
              <w:rPr>
                <w:rFonts w:ascii="Arabic Typesetting" w:hAnsi="Arabic Typesetting" w:cs="Arabic Typesetting"/>
              </w:rPr>
              <w:t xml:space="preserve"> </w:t>
            </w:r>
            <w:r w:rsidR="00495A5C">
              <w:rPr>
                <w:rFonts w:ascii="Arabic Typesetting" w:hAnsi="Arabic Typesetting" w:cs="Arabic Typesetting"/>
              </w:rPr>
              <w:t xml:space="preserve">in Mediterranean Studies </w:t>
            </w:r>
            <w:r>
              <w:rPr>
                <w:rFonts w:ascii="Arabic Typesetting" w:hAnsi="Arabic Typesetting" w:cs="Arabic Typesetting"/>
              </w:rPr>
              <w:t xml:space="preserve">requires a total of </w:t>
            </w:r>
            <w:r w:rsidR="001925F7">
              <w:rPr>
                <w:rFonts w:ascii="Arabic Typesetting" w:hAnsi="Arabic Typesetting" w:cs="Arabic Typesetting"/>
              </w:rPr>
              <w:t>15</w:t>
            </w:r>
            <w:r>
              <w:rPr>
                <w:rFonts w:ascii="Arabic Typesetting" w:hAnsi="Arabic Typesetting" w:cs="Arabic Typesetting"/>
              </w:rPr>
              <w:t xml:space="preserve"> points.</w:t>
            </w:r>
            <w:r w:rsidR="00BE3A12">
              <w:rPr>
                <w:rFonts w:ascii="Arabic Typesetting" w:hAnsi="Arabic Typesetting" w:cs="Arabic Typesetting"/>
              </w:rPr>
              <w:t xml:space="preserve">                                                                                               </w:t>
            </w:r>
            <w:r>
              <w:rPr>
                <w:rFonts w:ascii="Arabic Typesetting" w:hAnsi="Arabic Typesetting" w:cs="Arabic Typesetting"/>
              </w:rPr>
              <w:t xml:space="preserve"> </w:t>
            </w:r>
          </w:p>
        </w:tc>
      </w:tr>
      <w:tr w:rsidR="00A4711C" w:rsidTr="003B64D1">
        <w:tc>
          <w:tcPr>
            <w:tcW w:w="10795" w:type="dxa"/>
            <w:gridSpan w:val="7"/>
            <w:shd w:val="clear" w:color="auto" w:fill="DEEAF6" w:themeFill="accent5" w:themeFillTint="33"/>
          </w:tcPr>
          <w:p w:rsidR="00A4711C" w:rsidRPr="003B64D1" w:rsidRDefault="00A4711C" w:rsidP="003B64D1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3B64D1">
              <w:rPr>
                <w:rFonts w:ascii="Arabic Typesetting" w:hAnsi="Arabic Typesetting" w:cs="Arabic Typesetting" w:hint="cs"/>
                <w:sz w:val="28"/>
                <w:szCs w:val="28"/>
              </w:rPr>
              <w:t>REQUIREMENTS</w:t>
            </w:r>
          </w:p>
        </w:tc>
      </w:tr>
      <w:tr w:rsidR="00032441" w:rsidTr="004B7A71">
        <w:tc>
          <w:tcPr>
            <w:tcW w:w="10795" w:type="dxa"/>
            <w:gridSpan w:val="7"/>
          </w:tcPr>
          <w:p w:rsidR="00032441" w:rsidRPr="00495A5C" w:rsidRDefault="00495A5C" w:rsidP="001925F7">
            <w:pPr>
              <w:jc w:val="center"/>
              <w:rPr>
                <w:rFonts w:ascii="Arabic Typesetting" w:hAnsi="Arabic Typesetting" w:cs="Arabic Typesetting"/>
                <w:iCs/>
              </w:rPr>
            </w:pPr>
            <w:r w:rsidRPr="00495A5C">
              <w:rPr>
                <w:rFonts w:ascii="Arabic Typesetting" w:hAnsi="Arabic Typesetting" w:cs="Arabic Typesetting"/>
                <w:iCs/>
              </w:rPr>
              <w:t>Mediterranean Humanities I &amp; II</w:t>
            </w:r>
          </w:p>
          <w:p w:rsidR="001925F7" w:rsidRPr="00495A5C" w:rsidRDefault="001925F7" w:rsidP="001925F7">
            <w:pPr>
              <w:jc w:val="center"/>
              <w:rPr>
                <w:rFonts w:ascii="Arabic Typesetting" w:hAnsi="Arabic Typesetting" w:cs="Arabic Typesetting"/>
                <w:iCs/>
              </w:rPr>
            </w:pPr>
            <w:r w:rsidRPr="00495A5C">
              <w:rPr>
                <w:rFonts w:ascii="Arabic Typesetting" w:hAnsi="Arabic Typesetting" w:cs="Arabic Typesetting"/>
                <w:iCs/>
              </w:rPr>
              <w:t xml:space="preserve">All minors are required to complete </w:t>
            </w:r>
            <w:r w:rsidR="00495A5C" w:rsidRPr="00495A5C">
              <w:rPr>
                <w:rFonts w:ascii="Arabic Typesetting" w:hAnsi="Arabic Typesetting" w:cs="Arabic Typesetting"/>
                <w:bCs/>
                <w:iCs/>
              </w:rPr>
              <w:t>the Mediterranean Humanities</w:t>
            </w:r>
            <w:r w:rsidRPr="00495A5C">
              <w:rPr>
                <w:rFonts w:ascii="Arabic Typesetting" w:hAnsi="Arabic Typesetting" w:cs="Arabic Typesetting"/>
                <w:iCs/>
              </w:rPr>
              <w:t xml:space="preserve"> sequence</w:t>
            </w:r>
            <w:r w:rsidR="00495A5C" w:rsidRPr="00495A5C">
              <w:rPr>
                <w:rFonts w:ascii="Arabic Typesetting" w:hAnsi="Arabic Typesetting" w:cs="Arabic Typesetting"/>
                <w:iCs/>
              </w:rPr>
              <w:t xml:space="preserve"> (counting also towards the Global Core requirement)</w:t>
            </w:r>
          </w:p>
        </w:tc>
      </w:tr>
      <w:tr w:rsidR="00BE3A12" w:rsidRPr="004B7A71" w:rsidTr="00BB783C">
        <w:tc>
          <w:tcPr>
            <w:tcW w:w="557" w:type="dxa"/>
            <w:shd w:val="clear" w:color="auto" w:fill="E7E6E6" w:themeFill="background2"/>
          </w:tcPr>
          <w:p w:rsidR="00032441" w:rsidRPr="004B7A71" w:rsidRDefault="00032441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Done</w:t>
            </w:r>
          </w:p>
        </w:tc>
        <w:tc>
          <w:tcPr>
            <w:tcW w:w="3124" w:type="dxa"/>
            <w:shd w:val="clear" w:color="auto" w:fill="E7E6E6" w:themeFill="background2"/>
          </w:tcPr>
          <w:p w:rsidR="00032441" w:rsidRPr="004B7A71" w:rsidRDefault="00032441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Short Title</w:t>
            </w:r>
          </w:p>
        </w:tc>
        <w:tc>
          <w:tcPr>
            <w:tcW w:w="2551" w:type="dxa"/>
            <w:shd w:val="clear" w:color="auto" w:fill="E7E6E6" w:themeFill="background2"/>
          </w:tcPr>
          <w:p w:rsidR="00032441" w:rsidRPr="004B7A71" w:rsidRDefault="00032441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Course Number</w:t>
            </w:r>
          </w:p>
        </w:tc>
        <w:tc>
          <w:tcPr>
            <w:tcW w:w="1084" w:type="dxa"/>
            <w:shd w:val="clear" w:color="auto" w:fill="E7E6E6" w:themeFill="background2"/>
          </w:tcPr>
          <w:p w:rsidR="00032441" w:rsidRPr="004B7A71" w:rsidRDefault="00032441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Semester</w:t>
            </w:r>
          </w:p>
        </w:tc>
        <w:tc>
          <w:tcPr>
            <w:tcW w:w="648" w:type="dxa"/>
            <w:shd w:val="clear" w:color="auto" w:fill="E7E6E6" w:themeFill="background2"/>
          </w:tcPr>
          <w:p w:rsidR="00032441" w:rsidRPr="004B7A71" w:rsidRDefault="00032441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Points</w:t>
            </w:r>
          </w:p>
        </w:tc>
        <w:tc>
          <w:tcPr>
            <w:tcW w:w="2114" w:type="dxa"/>
            <w:shd w:val="clear" w:color="auto" w:fill="E7E6E6" w:themeFill="background2"/>
          </w:tcPr>
          <w:p w:rsidR="00032441" w:rsidRPr="004B7A71" w:rsidRDefault="00032441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Instructor</w:t>
            </w:r>
          </w:p>
        </w:tc>
        <w:tc>
          <w:tcPr>
            <w:tcW w:w="717" w:type="dxa"/>
            <w:shd w:val="clear" w:color="auto" w:fill="E7E6E6" w:themeFill="background2"/>
          </w:tcPr>
          <w:p w:rsidR="00032441" w:rsidRPr="004B7A71" w:rsidRDefault="00032441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Grade</w:t>
            </w:r>
          </w:p>
        </w:tc>
      </w:tr>
      <w:tr w:rsidR="00A4711C" w:rsidRPr="004B7A71" w:rsidTr="00BB783C">
        <w:tc>
          <w:tcPr>
            <w:tcW w:w="557" w:type="dxa"/>
          </w:tcPr>
          <w:p w:rsidR="00032441" w:rsidRPr="004B7A71" w:rsidRDefault="004F343F" w:rsidP="004F343F">
            <w:pPr>
              <w:jc w:val="center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 w:hint="cs"/>
              </w:rPr>
              <w:sym w:font="Wingdings" w:char="F0A8"/>
            </w:r>
          </w:p>
        </w:tc>
        <w:tc>
          <w:tcPr>
            <w:tcW w:w="3124" w:type="dxa"/>
          </w:tcPr>
          <w:p w:rsidR="00032441" w:rsidRPr="004B7A71" w:rsidRDefault="00495A5C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Mediterranean Humanities I</w:t>
            </w:r>
          </w:p>
        </w:tc>
        <w:tc>
          <w:tcPr>
            <w:tcW w:w="2551" w:type="dxa"/>
          </w:tcPr>
          <w:p w:rsidR="00032441" w:rsidRPr="00495A5C" w:rsidRDefault="00495A5C">
            <w:pPr>
              <w:rPr>
                <w:rFonts w:ascii="Arabic Typesetting" w:hAnsi="Arabic Typesetting" w:cs="Arabic Typesetting"/>
              </w:rPr>
            </w:pPr>
            <w:r w:rsidRPr="00495A5C">
              <w:rPr>
                <w:rFonts w:ascii="Arabic Typesetting" w:hAnsi="Arabic Typesetting" w:cs="Arabic Typesetting"/>
              </w:rPr>
              <w:t>CLIA GU4499</w:t>
            </w:r>
          </w:p>
        </w:tc>
        <w:tc>
          <w:tcPr>
            <w:tcW w:w="1084" w:type="dxa"/>
          </w:tcPr>
          <w:p w:rsidR="00032441" w:rsidRPr="004B7A71" w:rsidRDefault="00032441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48" w:type="dxa"/>
          </w:tcPr>
          <w:p w:rsidR="00032441" w:rsidRPr="004B7A71" w:rsidRDefault="00032441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114" w:type="dxa"/>
          </w:tcPr>
          <w:p w:rsidR="00032441" w:rsidRPr="004B7A71" w:rsidRDefault="00032441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717" w:type="dxa"/>
          </w:tcPr>
          <w:p w:rsidR="00032441" w:rsidRPr="004B7A71" w:rsidRDefault="00032441">
            <w:pPr>
              <w:rPr>
                <w:rFonts w:ascii="Arabic Typesetting" w:hAnsi="Arabic Typesetting" w:cs="Arabic Typesetting"/>
              </w:rPr>
            </w:pPr>
          </w:p>
        </w:tc>
      </w:tr>
      <w:tr w:rsidR="00A4711C" w:rsidRPr="004B7A71" w:rsidTr="00BB783C">
        <w:tc>
          <w:tcPr>
            <w:tcW w:w="557" w:type="dxa"/>
          </w:tcPr>
          <w:p w:rsidR="00032441" w:rsidRPr="004B7A71" w:rsidRDefault="004F343F" w:rsidP="004F343F">
            <w:pPr>
              <w:jc w:val="center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 w:hint="cs"/>
              </w:rPr>
              <w:sym w:font="Wingdings" w:char="F0A8"/>
            </w:r>
          </w:p>
        </w:tc>
        <w:tc>
          <w:tcPr>
            <w:tcW w:w="3124" w:type="dxa"/>
          </w:tcPr>
          <w:p w:rsidR="00032441" w:rsidRPr="004B7A71" w:rsidRDefault="00495A5C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Mediterranean Humanities II</w:t>
            </w:r>
          </w:p>
        </w:tc>
        <w:tc>
          <w:tcPr>
            <w:tcW w:w="2551" w:type="dxa"/>
          </w:tcPr>
          <w:p w:rsidR="00032441" w:rsidRPr="004B7A71" w:rsidRDefault="00495A5C">
            <w:pPr>
              <w:rPr>
                <w:rFonts w:ascii="Arabic Typesetting" w:hAnsi="Arabic Typesetting" w:cs="Arabic Typesetting"/>
              </w:rPr>
            </w:pPr>
            <w:r w:rsidRPr="00495A5C">
              <w:rPr>
                <w:rFonts w:ascii="Arabic Typesetting" w:hAnsi="Arabic Typesetting" w:cs="Arabic Typesetting"/>
              </w:rPr>
              <w:t>CLIA GU4</w:t>
            </w:r>
            <w:r>
              <w:rPr>
                <w:rFonts w:ascii="Arabic Typesetting" w:hAnsi="Arabic Typesetting" w:cs="Arabic Typesetting"/>
              </w:rPr>
              <w:t>500</w:t>
            </w:r>
          </w:p>
        </w:tc>
        <w:tc>
          <w:tcPr>
            <w:tcW w:w="1084" w:type="dxa"/>
          </w:tcPr>
          <w:p w:rsidR="00032441" w:rsidRPr="004B7A71" w:rsidRDefault="00032441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48" w:type="dxa"/>
          </w:tcPr>
          <w:p w:rsidR="00032441" w:rsidRPr="004B7A71" w:rsidRDefault="00032441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114" w:type="dxa"/>
          </w:tcPr>
          <w:p w:rsidR="00032441" w:rsidRPr="004B7A71" w:rsidRDefault="00032441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717" w:type="dxa"/>
          </w:tcPr>
          <w:p w:rsidR="00032441" w:rsidRPr="004B7A71" w:rsidRDefault="00032441">
            <w:pPr>
              <w:rPr>
                <w:rFonts w:ascii="Arabic Typesetting" w:hAnsi="Arabic Typesetting" w:cs="Arabic Typesetting"/>
              </w:rPr>
            </w:pPr>
          </w:p>
        </w:tc>
      </w:tr>
      <w:tr w:rsidR="00A4711C" w:rsidRPr="004B7A71" w:rsidTr="003B64D1">
        <w:tc>
          <w:tcPr>
            <w:tcW w:w="10795" w:type="dxa"/>
            <w:gridSpan w:val="7"/>
            <w:shd w:val="clear" w:color="auto" w:fill="DEEAF6" w:themeFill="accent5" w:themeFillTint="33"/>
          </w:tcPr>
          <w:p w:rsidR="00A4711C" w:rsidRPr="003B64D1" w:rsidRDefault="003B64D1" w:rsidP="003B64D1">
            <w:pPr>
              <w:tabs>
                <w:tab w:val="left" w:pos="270"/>
                <w:tab w:val="center" w:pos="5289"/>
              </w:tabs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</w:rPr>
              <w:tab/>
            </w:r>
            <w:r>
              <w:rPr>
                <w:rFonts w:ascii="Arabic Typesetting" w:hAnsi="Arabic Typesetting" w:cs="Arabic Typesetting"/>
                <w:sz w:val="28"/>
                <w:szCs w:val="28"/>
              </w:rPr>
              <w:tab/>
            </w:r>
            <w:r w:rsidR="00A4711C" w:rsidRPr="003B64D1">
              <w:rPr>
                <w:rFonts w:ascii="Arabic Typesetting" w:hAnsi="Arabic Typesetting" w:cs="Arabic Typesetting"/>
                <w:sz w:val="28"/>
                <w:szCs w:val="28"/>
              </w:rPr>
              <w:t>ELECTIVES</w:t>
            </w:r>
          </w:p>
        </w:tc>
      </w:tr>
      <w:tr w:rsidR="00980B02" w:rsidRPr="004B7A71" w:rsidTr="009A0E8A">
        <w:tc>
          <w:tcPr>
            <w:tcW w:w="10795" w:type="dxa"/>
            <w:gridSpan w:val="7"/>
          </w:tcPr>
          <w:p w:rsidR="00980B02" w:rsidRPr="00495A5C" w:rsidRDefault="00980B02" w:rsidP="00495A5C">
            <w:pPr>
              <w:jc w:val="center"/>
              <w:rPr>
                <w:rFonts w:ascii="Arabic Typesetting" w:hAnsi="Arabic Typesetting" w:cs="Arabic Typesetting"/>
                <w:i/>
                <w:iCs/>
              </w:rPr>
            </w:pPr>
            <w:r>
              <w:rPr>
                <w:rFonts w:ascii="Arabic Typesetting" w:hAnsi="Arabic Typesetting" w:cs="Arabic Typesetting"/>
              </w:rPr>
              <w:t xml:space="preserve">In consultation with the Director of </w:t>
            </w:r>
            <w:r w:rsidR="0004169C">
              <w:rPr>
                <w:rFonts w:ascii="Arabic Typesetting" w:hAnsi="Arabic Typesetting" w:cs="Arabic Typesetting"/>
              </w:rPr>
              <w:t>Und</w:t>
            </w:r>
            <w:r w:rsidR="0004169C" w:rsidRPr="00495A5C">
              <w:rPr>
                <w:rFonts w:ascii="Arabic Typesetting" w:hAnsi="Arabic Typesetting" w:cs="Arabic Typesetting"/>
              </w:rPr>
              <w:t>ergraduate Studies, m</w:t>
            </w:r>
            <w:r w:rsidR="001925F7" w:rsidRPr="00495A5C">
              <w:rPr>
                <w:rFonts w:ascii="Arabic Typesetting" w:hAnsi="Arabic Typesetting" w:cs="Arabic Typesetting"/>
              </w:rPr>
              <w:t>inors</w:t>
            </w:r>
            <w:r w:rsidRPr="00495A5C">
              <w:rPr>
                <w:rFonts w:ascii="Arabic Typesetting" w:hAnsi="Arabic Typesetting" w:cs="Arabic Typesetting"/>
              </w:rPr>
              <w:t xml:space="preserve"> select </w:t>
            </w:r>
            <w:r w:rsidR="001925F7" w:rsidRPr="00495A5C">
              <w:rPr>
                <w:rFonts w:ascii="Arabic Typesetting" w:hAnsi="Arabic Typesetting" w:cs="Arabic Typesetting"/>
              </w:rPr>
              <w:t>three</w:t>
            </w:r>
            <w:r w:rsidR="004F343F" w:rsidRPr="00495A5C">
              <w:rPr>
                <w:rFonts w:ascii="Arabic Typesetting" w:hAnsi="Arabic Typesetting" w:cs="Arabic Typesetting"/>
              </w:rPr>
              <w:t xml:space="preserve"> (</w:t>
            </w:r>
            <w:r w:rsidR="001925F7" w:rsidRPr="00495A5C">
              <w:rPr>
                <w:rFonts w:ascii="Arabic Typesetting" w:hAnsi="Arabic Typesetting" w:cs="Arabic Typesetting"/>
              </w:rPr>
              <w:t>3</w:t>
            </w:r>
            <w:r w:rsidR="00BB783C" w:rsidRPr="00495A5C">
              <w:rPr>
                <w:rFonts w:ascii="Arabic Typesetting" w:hAnsi="Arabic Typesetting" w:cs="Arabic Typesetting"/>
              </w:rPr>
              <w:t xml:space="preserve">) </w:t>
            </w:r>
            <w:r w:rsidRPr="00495A5C">
              <w:rPr>
                <w:rFonts w:ascii="Arabic Typesetting" w:hAnsi="Arabic Typesetting" w:cs="Arabic Typesetting"/>
              </w:rPr>
              <w:t>additional courses</w:t>
            </w:r>
            <w:r w:rsidR="00BB783C" w:rsidRPr="00495A5C">
              <w:rPr>
                <w:rFonts w:ascii="Arabic Typesetting" w:hAnsi="Arabic Typesetting" w:cs="Arabic Typesetting"/>
              </w:rPr>
              <w:t xml:space="preserve"> </w:t>
            </w:r>
            <w:r w:rsidRPr="00495A5C">
              <w:rPr>
                <w:rFonts w:ascii="Arabic Typesetting" w:hAnsi="Arabic Typesetting" w:cs="Arabic Typesetting"/>
              </w:rPr>
              <w:t xml:space="preserve">from the department’s 3000- or 4000- level offerings, or from </w:t>
            </w:r>
            <w:r w:rsidR="0004169C" w:rsidRPr="00495A5C">
              <w:rPr>
                <w:rFonts w:ascii="Arabic Typesetting" w:hAnsi="Arabic Typesetting" w:cs="Arabic Typesetting"/>
              </w:rPr>
              <w:t>other</w:t>
            </w:r>
            <w:r w:rsidR="00495A5C" w:rsidRPr="00495A5C">
              <w:rPr>
                <w:rFonts w:ascii="Arabic Typesetting" w:hAnsi="Arabic Typesetting" w:cs="Arabic Typesetting"/>
              </w:rPr>
              <w:t xml:space="preserve"> </w:t>
            </w:r>
            <w:r w:rsidR="00495A5C" w:rsidRPr="00495A5C">
              <w:rPr>
                <w:rFonts w:ascii="Arabic Typesetting" w:hAnsi="Arabic Typesetting" w:cs="Arabic Typesetting"/>
              </w:rPr>
              <w:t>departments and units across the</w:t>
            </w:r>
            <w:r w:rsidR="00495A5C" w:rsidRPr="00495A5C">
              <w:rPr>
                <w:rFonts w:ascii="Arabic Typesetting" w:hAnsi="Arabic Typesetting" w:cs="Arabic Typesetting"/>
              </w:rPr>
              <w:t xml:space="preserve"> </w:t>
            </w:r>
            <w:r w:rsidR="00495A5C" w:rsidRPr="00495A5C">
              <w:rPr>
                <w:rFonts w:ascii="Arabic Typesetting" w:hAnsi="Arabic Typesetting" w:cs="Arabic Typesetting"/>
              </w:rPr>
              <w:t>university</w:t>
            </w:r>
          </w:p>
        </w:tc>
      </w:tr>
      <w:tr w:rsidR="004F343F" w:rsidRPr="004B7A71" w:rsidTr="00BB783C">
        <w:tc>
          <w:tcPr>
            <w:tcW w:w="557" w:type="dxa"/>
            <w:shd w:val="clear" w:color="auto" w:fill="E7E6E6" w:themeFill="background2"/>
          </w:tcPr>
          <w:p w:rsidR="00980B02" w:rsidRPr="004B7A71" w:rsidRDefault="00980B02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Done</w:t>
            </w:r>
          </w:p>
        </w:tc>
        <w:tc>
          <w:tcPr>
            <w:tcW w:w="3124" w:type="dxa"/>
            <w:shd w:val="clear" w:color="auto" w:fill="E7E6E6" w:themeFill="background2"/>
          </w:tcPr>
          <w:p w:rsidR="00980B02" w:rsidRPr="004B7A71" w:rsidRDefault="00980B02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Short Title</w:t>
            </w:r>
          </w:p>
        </w:tc>
        <w:tc>
          <w:tcPr>
            <w:tcW w:w="2551" w:type="dxa"/>
            <w:shd w:val="clear" w:color="auto" w:fill="E7E6E6" w:themeFill="background2"/>
          </w:tcPr>
          <w:p w:rsidR="00980B02" w:rsidRPr="004B7A71" w:rsidRDefault="00980B02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Course Number</w:t>
            </w:r>
          </w:p>
        </w:tc>
        <w:tc>
          <w:tcPr>
            <w:tcW w:w="1084" w:type="dxa"/>
            <w:shd w:val="clear" w:color="auto" w:fill="E7E6E6" w:themeFill="background2"/>
          </w:tcPr>
          <w:p w:rsidR="00980B02" w:rsidRPr="004B7A71" w:rsidRDefault="00980B02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Semester</w:t>
            </w:r>
          </w:p>
        </w:tc>
        <w:tc>
          <w:tcPr>
            <w:tcW w:w="648" w:type="dxa"/>
            <w:shd w:val="clear" w:color="auto" w:fill="E7E6E6" w:themeFill="background2"/>
          </w:tcPr>
          <w:p w:rsidR="00980B02" w:rsidRPr="004B7A71" w:rsidRDefault="00980B02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Points</w:t>
            </w:r>
          </w:p>
        </w:tc>
        <w:tc>
          <w:tcPr>
            <w:tcW w:w="2114" w:type="dxa"/>
            <w:shd w:val="clear" w:color="auto" w:fill="E7E6E6" w:themeFill="background2"/>
          </w:tcPr>
          <w:p w:rsidR="00980B02" w:rsidRPr="004B7A71" w:rsidRDefault="00980B02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Instructor</w:t>
            </w:r>
          </w:p>
        </w:tc>
        <w:tc>
          <w:tcPr>
            <w:tcW w:w="717" w:type="dxa"/>
            <w:shd w:val="clear" w:color="auto" w:fill="E7E6E6" w:themeFill="background2"/>
          </w:tcPr>
          <w:p w:rsidR="00980B02" w:rsidRPr="004B7A71" w:rsidRDefault="00980B02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Grade</w:t>
            </w:r>
          </w:p>
        </w:tc>
      </w:tr>
      <w:tr w:rsidR="004F343F" w:rsidRPr="004B7A71" w:rsidTr="00BB783C">
        <w:tc>
          <w:tcPr>
            <w:tcW w:w="557" w:type="dxa"/>
          </w:tcPr>
          <w:p w:rsidR="00980B02" w:rsidRPr="004B7A71" w:rsidRDefault="004F343F" w:rsidP="004F343F">
            <w:pPr>
              <w:jc w:val="center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 w:hint="cs"/>
              </w:rPr>
              <w:sym w:font="Wingdings" w:char="F0A8"/>
            </w:r>
          </w:p>
        </w:tc>
        <w:tc>
          <w:tcPr>
            <w:tcW w:w="3124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551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1084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48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114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717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</w:tr>
      <w:tr w:rsidR="004F343F" w:rsidRPr="004B7A71" w:rsidTr="00BB783C">
        <w:tc>
          <w:tcPr>
            <w:tcW w:w="557" w:type="dxa"/>
          </w:tcPr>
          <w:p w:rsidR="00980B02" w:rsidRPr="004B7A71" w:rsidRDefault="004F343F" w:rsidP="004F343F">
            <w:pPr>
              <w:jc w:val="center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 w:hint="cs"/>
              </w:rPr>
              <w:sym w:font="Wingdings" w:char="F0A8"/>
            </w:r>
          </w:p>
        </w:tc>
        <w:tc>
          <w:tcPr>
            <w:tcW w:w="3124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551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1084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48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114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717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</w:tr>
      <w:tr w:rsidR="004F343F" w:rsidRPr="004B7A71" w:rsidTr="00BB783C">
        <w:tc>
          <w:tcPr>
            <w:tcW w:w="557" w:type="dxa"/>
          </w:tcPr>
          <w:p w:rsidR="00980B02" w:rsidRPr="004B7A71" w:rsidRDefault="004F343F" w:rsidP="004F343F">
            <w:pPr>
              <w:jc w:val="center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 w:hint="cs"/>
              </w:rPr>
              <w:sym w:font="Wingdings" w:char="F0A8"/>
            </w:r>
          </w:p>
        </w:tc>
        <w:tc>
          <w:tcPr>
            <w:tcW w:w="3124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551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1084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48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114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717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</w:tr>
    </w:tbl>
    <w:tbl>
      <w:tblPr>
        <w:tblpPr w:leftFromText="180" w:rightFromText="180" w:vertAnchor="text" w:tblpY="190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4F343F" w:rsidTr="003B64D1">
        <w:trPr>
          <w:trHeight w:val="2507"/>
        </w:trPr>
        <w:tc>
          <w:tcPr>
            <w:tcW w:w="10800" w:type="dxa"/>
          </w:tcPr>
          <w:p w:rsidR="004F343F" w:rsidRDefault="004F343F" w:rsidP="004F343F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Notes:</w:t>
            </w:r>
          </w:p>
          <w:p w:rsidR="00B44564" w:rsidRPr="00495A5C" w:rsidRDefault="00495A5C" w:rsidP="00495A5C">
            <w:pPr>
              <w:pStyle w:val="ListParagraph"/>
              <w:numPr>
                <w:ilvl w:val="0"/>
                <w:numId w:val="1"/>
              </w:numPr>
              <w:rPr>
                <w:rFonts w:ascii="Arabic Typesetting" w:hAnsi="Arabic Typesetting" w:cs="Arabic Typesetting"/>
                <w:i/>
                <w:iCs/>
              </w:rPr>
            </w:pPr>
            <w:r>
              <w:rPr>
                <w:rFonts w:ascii="Arabic Typesetting" w:hAnsi="Arabic Typesetting" w:cs="Arabic Typesetting"/>
              </w:rPr>
              <w:t xml:space="preserve">The </w:t>
            </w:r>
            <w:r w:rsidRPr="00495A5C">
              <w:rPr>
                <w:rFonts w:ascii="Arabic Typesetting" w:hAnsi="Arabic Typesetting" w:cs="Arabic Typesetting"/>
              </w:rPr>
              <w:t xml:space="preserve">approved </w:t>
            </w:r>
            <w:r w:rsidRPr="00495A5C">
              <w:rPr>
                <w:rFonts w:ascii="Arabic Typesetting" w:hAnsi="Arabic Typesetting" w:cs="Arabic Typesetting"/>
              </w:rPr>
              <w:t xml:space="preserve">elective </w:t>
            </w:r>
            <w:r w:rsidRPr="00495A5C">
              <w:rPr>
                <w:rFonts w:ascii="Arabic Typesetting" w:hAnsi="Arabic Typesetting" w:cs="Arabic Typesetting"/>
              </w:rPr>
              <w:t>courses should adopt a Mediterranean transnational, comparative or</w:t>
            </w:r>
            <w:r w:rsidRPr="00495A5C">
              <w:rPr>
                <w:rFonts w:ascii="Arabic Typesetting" w:hAnsi="Arabic Typesetting" w:cs="Arabic Typesetting"/>
              </w:rPr>
              <w:t xml:space="preserve"> </w:t>
            </w:r>
            <w:r w:rsidRPr="00495A5C">
              <w:rPr>
                <w:rFonts w:ascii="Arabic Typesetting" w:hAnsi="Arabic Typesetting" w:cs="Arabic Typesetting"/>
              </w:rPr>
              <w:t>regional perspective, engage with issues on a cross-Mediterranean scale (such as migration,</w:t>
            </w:r>
            <w:r w:rsidRPr="00495A5C">
              <w:rPr>
                <w:rFonts w:ascii="Arabic Typesetting" w:hAnsi="Arabic Typesetting" w:cs="Arabic Typesetting"/>
              </w:rPr>
              <w:t xml:space="preserve"> </w:t>
            </w:r>
            <w:r w:rsidRPr="00495A5C">
              <w:rPr>
                <w:rFonts w:ascii="Arabic Typesetting" w:hAnsi="Arabic Typesetting" w:cs="Arabic Typesetting"/>
              </w:rPr>
              <w:t>cultural transfers, translation, borders, contacts and conflicts, empires and colonialism, islands,</w:t>
            </w:r>
            <w:r w:rsidRPr="00495A5C">
              <w:rPr>
                <w:rFonts w:ascii="Arabic Typesetting" w:hAnsi="Arabic Typesetting" w:cs="Arabic Typesetting"/>
              </w:rPr>
              <w:t xml:space="preserve"> </w:t>
            </w:r>
            <w:r w:rsidRPr="00495A5C">
              <w:rPr>
                <w:rFonts w:ascii="Arabic Typesetting" w:hAnsi="Arabic Typesetting" w:cs="Arabic Typesetting"/>
              </w:rPr>
              <w:t>circulation of goods and ideas, common environmental and resource management questions), or</w:t>
            </w:r>
            <w:r w:rsidRPr="00495A5C">
              <w:rPr>
                <w:rFonts w:ascii="Arabic Typesetting" w:hAnsi="Arabic Typesetting" w:cs="Arabic Typesetting"/>
              </w:rPr>
              <w:t xml:space="preserve"> </w:t>
            </w:r>
            <w:r w:rsidRPr="00495A5C">
              <w:rPr>
                <w:rFonts w:ascii="Arabic Typesetting" w:hAnsi="Arabic Typesetting" w:cs="Arabic Typesetting"/>
              </w:rPr>
              <w:t>place their particular topics within a Mediterranean framework (at least 50% of the course</w:t>
            </w:r>
            <w:r w:rsidRPr="00495A5C">
              <w:rPr>
                <w:rFonts w:ascii="Arabic Typesetting" w:hAnsi="Arabic Typesetting" w:cs="Arabic Typesetting"/>
              </w:rPr>
              <w:t xml:space="preserve"> </w:t>
            </w:r>
            <w:r w:rsidRPr="00495A5C">
              <w:rPr>
                <w:rFonts w:ascii="Arabic Typesetting" w:hAnsi="Arabic Typesetting" w:cs="Arabic Typesetting"/>
              </w:rPr>
              <w:t>material should fulfill these requirements)</w:t>
            </w:r>
            <w:r>
              <w:rPr>
                <w:rFonts w:ascii="Arabic Typesetting" w:hAnsi="Arabic Typesetting" w:cs="Arabic Typesetting"/>
              </w:rPr>
              <w:t>.</w:t>
            </w:r>
          </w:p>
        </w:tc>
      </w:tr>
    </w:tbl>
    <w:p w:rsidR="001925F7" w:rsidRPr="004B7A71" w:rsidRDefault="001925F7" w:rsidP="001925F7">
      <w:pPr>
        <w:rPr>
          <w:rFonts w:ascii="Arabic Typesetting" w:hAnsi="Arabic Typesetting" w:cs="Arabic Typesetting"/>
        </w:rPr>
      </w:pPr>
    </w:p>
    <w:p w:rsidR="004F343F" w:rsidRPr="004B7A71" w:rsidRDefault="004F343F" w:rsidP="004F343F">
      <w:pPr>
        <w:rPr>
          <w:rFonts w:ascii="Arabic Typesetting" w:hAnsi="Arabic Typesetting" w:cs="Arabic Typesetting"/>
        </w:rPr>
      </w:pPr>
    </w:p>
    <w:sectPr w:rsidR="004F343F" w:rsidRPr="004B7A71" w:rsidSect="00354F9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4F9A" w:rsidRDefault="00354F9A" w:rsidP="004F343F">
      <w:pPr>
        <w:spacing w:after="0" w:line="240" w:lineRule="auto"/>
      </w:pPr>
      <w:r>
        <w:separator/>
      </w:r>
    </w:p>
  </w:endnote>
  <w:endnote w:type="continuationSeparator" w:id="0">
    <w:p w:rsidR="00354F9A" w:rsidRDefault="00354F9A" w:rsidP="004F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343F" w:rsidRPr="003B64D1" w:rsidRDefault="004F343F" w:rsidP="003B64D1">
    <w:pPr>
      <w:pStyle w:val="Footer"/>
      <w:jc w:val="right"/>
      <w:rPr>
        <w:rFonts w:ascii="Arabic Typesetting" w:hAnsi="Arabic Typesetting" w:cs="Arabic Typesetting"/>
      </w:rPr>
    </w:pPr>
    <w:r w:rsidRPr="003B64D1">
      <w:rPr>
        <w:rFonts w:ascii="Arabic Typesetting" w:hAnsi="Arabic Typesetting" w:cs="Arabic Typesetting" w:hint="cs"/>
        <w:sz w:val="32"/>
        <w:szCs w:val="32"/>
      </w:rPr>
      <w:t>Reviewer Initials &amp; Date: ____________________________________</w:t>
    </w:r>
    <w:r>
      <w:tab/>
    </w:r>
    <w:r w:rsidR="003B64D1">
      <w:t xml:space="preserve">                         </w:t>
    </w:r>
    <w:r w:rsidRPr="003B64D1">
      <w:rPr>
        <w:rFonts w:ascii="Arabic Typesetting" w:hAnsi="Arabic Typesetting" w:cs="Arabic Typesetting" w:hint="cs"/>
      </w:rPr>
      <w:t>revision date 6.12.2023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4F9A" w:rsidRDefault="00354F9A" w:rsidP="004F343F">
      <w:pPr>
        <w:spacing w:after="0" w:line="240" w:lineRule="auto"/>
      </w:pPr>
      <w:r>
        <w:separator/>
      </w:r>
    </w:p>
  </w:footnote>
  <w:footnote w:type="continuationSeparator" w:id="0">
    <w:p w:rsidR="00354F9A" w:rsidRDefault="00354F9A" w:rsidP="004F3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343F" w:rsidRPr="004F343F" w:rsidRDefault="00495A5C" w:rsidP="004F343F">
    <w:pPr>
      <w:pStyle w:val="Header"/>
      <w:jc w:val="center"/>
      <w:rPr>
        <w:rFonts w:ascii="Arabic Typesetting" w:hAnsi="Arabic Typesetting" w:cs="Arabic Typesetting"/>
        <w:sz w:val="44"/>
        <w:szCs w:val="44"/>
      </w:rPr>
    </w:pPr>
    <w:r>
      <w:rPr>
        <w:rFonts w:ascii="Arabic Typesetting" w:hAnsi="Arabic Typesetting" w:cs="Arabic Typesetting"/>
        <w:sz w:val="44"/>
        <w:szCs w:val="44"/>
      </w:rPr>
      <w:t>Mediterranean Studies</w:t>
    </w:r>
    <w:r w:rsidR="003B64D1">
      <w:rPr>
        <w:rFonts w:ascii="Arabic Typesetting" w:hAnsi="Arabic Typesetting" w:cs="Arabic Typesetting"/>
        <w:sz w:val="44"/>
        <w:szCs w:val="44"/>
      </w:rPr>
      <w:t xml:space="preserve"> </w:t>
    </w:r>
    <w:r w:rsidR="004F343F" w:rsidRPr="004F343F">
      <w:rPr>
        <w:rFonts w:ascii="Arabic Typesetting" w:hAnsi="Arabic Typesetting" w:cs="Arabic Typesetting" w:hint="cs"/>
        <w:sz w:val="44"/>
        <w:szCs w:val="44"/>
      </w:rPr>
      <w:t>M</w:t>
    </w:r>
    <w:r w:rsidR="001925F7">
      <w:rPr>
        <w:rFonts w:ascii="Arabic Typesetting" w:hAnsi="Arabic Typesetting" w:cs="Arabic Typesetting"/>
        <w:sz w:val="44"/>
        <w:szCs w:val="44"/>
      </w:rPr>
      <w:t>inor</w:t>
    </w:r>
    <w:r w:rsidR="004F343F" w:rsidRPr="004F343F">
      <w:rPr>
        <w:rFonts w:ascii="Arabic Typesetting" w:hAnsi="Arabic Typesetting" w:cs="Arabic Typesetting" w:hint="cs"/>
        <w:sz w:val="44"/>
        <w:szCs w:val="44"/>
      </w:rPr>
      <w:t xml:space="preserve"> Worksheet</w:t>
    </w:r>
  </w:p>
  <w:p w:rsidR="004F343F" w:rsidRDefault="004F3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28FB"/>
    <w:multiLevelType w:val="hybridMultilevel"/>
    <w:tmpl w:val="32681418"/>
    <w:lvl w:ilvl="0" w:tplc="D3CE2E5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58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41"/>
    <w:rsid w:val="00032441"/>
    <w:rsid w:val="0004169C"/>
    <w:rsid w:val="001925F7"/>
    <w:rsid w:val="00354F9A"/>
    <w:rsid w:val="003774F2"/>
    <w:rsid w:val="003B64D1"/>
    <w:rsid w:val="00404F31"/>
    <w:rsid w:val="00495A5C"/>
    <w:rsid w:val="004B7A71"/>
    <w:rsid w:val="004E2466"/>
    <w:rsid w:val="004F343F"/>
    <w:rsid w:val="005C7898"/>
    <w:rsid w:val="005E5E90"/>
    <w:rsid w:val="007C266D"/>
    <w:rsid w:val="007E3D31"/>
    <w:rsid w:val="008F0668"/>
    <w:rsid w:val="00980B02"/>
    <w:rsid w:val="00A20897"/>
    <w:rsid w:val="00A4711C"/>
    <w:rsid w:val="00A61DE5"/>
    <w:rsid w:val="00B44564"/>
    <w:rsid w:val="00BB783C"/>
    <w:rsid w:val="00BE3A12"/>
    <w:rsid w:val="00CB0CE5"/>
    <w:rsid w:val="00DF531A"/>
    <w:rsid w:val="00EF44A0"/>
    <w:rsid w:val="00FA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32E35"/>
  <w15:chartTrackingRefBased/>
  <w15:docId w15:val="{2420A11D-49EA-4F01-817C-5098006C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A5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2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43F"/>
  </w:style>
  <w:style w:type="paragraph" w:styleId="Footer">
    <w:name w:val="footer"/>
    <w:basedOn w:val="Normal"/>
    <w:link w:val="FooterChar"/>
    <w:uiPriority w:val="99"/>
    <w:unhideWhenUsed/>
    <w:rsid w:val="004F3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43F"/>
  </w:style>
  <w:style w:type="paragraph" w:styleId="ListParagraph">
    <w:name w:val="List Paragraph"/>
    <w:basedOn w:val="Normal"/>
    <w:uiPriority w:val="34"/>
    <w:qFormat/>
    <w:rsid w:val="00BB7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 C Muller</dc:creator>
  <cp:keywords/>
  <dc:description/>
  <cp:lastModifiedBy>Konstantina Zanou</cp:lastModifiedBy>
  <cp:revision>5</cp:revision>
  <cp:lastPrinted>2023-06-12T16:36:00Z</cp:lastPrinted>
  <dcterms:created xsi:type="dcterms:W3CDTF">2024-04-30T00:11:00Z</dcterms:created>
  <dcterms:modified xsi:type="dcterms:W3CDTF">2024-04-30T00:28:00Z</dcterms:modified>
</cp:coreProperties>
</file>